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E7" w:rsidRPr="001F37BF" w:rsidRDefault="00874FE7" w:rsidP="00874FE7">
      <w:pPr>
        <w:jc w:val="right"/>
        <w:rPr>
          <w:b/>
          <w:bCs/>
          <w:sz w:val="22"/>
          <w:szCs w:val="22"/>
          <w:lang w:eastAsia="ar-SA"/>
        </w:rPr>
      </w:pPr>
      <w:r w:rsidRPr="001F37BF">
        <w:tab/>
      </w:r>
      <w:r w:rsidR="00783BDF" w:rsidRPr="001F37BF">
        <w:rPr>
          <w:b/>
          <w:bCs/>
          <w:sz w:val="22"/>
          <w:szCs w:val="22"/>
          <w:lang w:eastAsia="ar-SA"/>
        </w:rPr>
        <w:t>SASKAŅOTS</w:t>
      </w:r>
    </w:p>
    <w:p w:rsidR="00874FE7" w:rsidRPr="00D84CF3" w:rsidRDefault="00874FE7" w:rsidP="00874FE7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Latgales Centrālās bibliotēkas</w:t>
      </w:r>
    </w:p>
    <w:p w:rsidR="00874FE7" w:rsidRPr="00D84CF3" w:rsidRDefault="00874FE7" w:rsidP="00874FE7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D84CF3">
        <w:rPr>
          <w:color w:val="000000"/>
          <w:sz w:val="22"/>
          <w:szCs w:val="22"/>
        </w:rPr>
        <w:t>adītāja</w:t>
      </w:r>
      <w:r>
        <w:rPr>
          <w:color w:val="000000"/>
          <w:sz w:val="22"/>
          <w:szCs w:val="22"/>
        </w:rPr>
        <w:t xml:space="preserve"> J. Šapkova</w:t>
      </w:r>
    </w:p>
    <w:p w:rsidR="00874FE7" w:rsidRPr="00F405A5" w:rsidRDefault="00874FE7" w:rsidP="00874FE7">
      <w:pPr>
        <w:jc w:val="right"/>
        <w:rPr>
          <w:color w:val="000000"/>
          <w:sz w:val="22"/>
          <w:szCs w:val="22"/>
        </w:rPr>
      </w:pPr>
    </w:p>
    <w:p w:rsidR="00874FE7" w:rsidRPr="00F405A5" w:rsidRDefault="00874FE7" w:rsidP="00874FE7">
      <w:pPr>
        <w:jc w:val="right"/>
        <w:rPr>
          <w:color w:val="000000"/>
          <w:sz w:val="22"/>
          <w:szCs w:val="22"/>
        </w:rPr>
      </w:pPr>
      <w:r w:rsidRPr="00F405A5">
        <w:rPr>
          <w:color w:val="000000"/>
          <w:sz w:val="22"/>
          <w:szCs w:val="22"/>
        </w:rPr>
        <w:t>________________________</w:t>
      </w:r>
    </w:p>
    <w:p w:rsidR="00874FE7" w:rsidRDefault="00B16A39" w:rsidP="00874FE7">
      <w:pPr>
        <w:pStyle w:val="Virsraksts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Daugavpilī, 2022</w:t>
      </w:r>
      <w:r w:rsidR="00874FE7" w:rsidRPr="00F405A5">
        <w:rPr>
          <w:color w:val="000000"/>
          <w:sz w:val="22"/>
          <w:szCs w:val="22"/>
        </w:rPr>
        <w:t>. gada</w:t>
      </w:r>
      <w:r w:rsidR="003E6C7C">
        <w:rPr>
          <w:color w:val="000000"/>
          <w:sz w:val="22"/>
          <w:szCs w:val="22"/>
        </w:rPr>
        <w:t xml:space="preserve"> </w:t>
      </w:r>
      <w:r w:rsidR="000E2987">
        <w:rPr>
          <w:color w:val="000000"/>
          <w:sz w:val="22"/>
          <w:szCs w:val="22"/>
        </w:rPr>
        <w:t>2. maijā</w:t>
      </w:r>
    </w:p>
    <w:p w:rsidR="00783BDF" w:rsidRPr="00783BDF" w:rsidRDefault="00783BDF" w:rsidP="00783BDF">
      <w:pPr>
        <w:rPr>
          <w:lang w:eastAsia="en-GB"/>
        </w:rPr>
      </w:pPr>
    </w:p>
    <w:p w:rsidR="00874FE7" w:rsidRDefault="00874FE7" w:rsidP="00874FE7">
      <w:pPr>
        <w:rPr>
          <w:color w:val="000000"/>
          <w:sz w:val="22"/>
          <w:szCs w:val="22"/>
        </w:rPr>
      </w:pPr>
    </w:p>
    <w:p w:rsidR="000E2987" w:rsidRPr="00D84CF3" w:rsidRDefault="000E2987" w:rsidP="00874FE7">
      <w:pPr>
        <w:rPr>
          <w:color w:val="000000"/>
          <w:sz w:val="22"/>
          <w:szCs w:val="22"/>
        </w:rPr>
      </w:pPr>
    </w:p>
    <w:p w:rsidR="00874FE7" w:rsidRPr="00650FE0" w:rsidRDefault="00783BDF" w:rsidP="00874FE7">
      <w:pPr>
        <w:pStyle w:val="Virsraksts1"/>
        <w:rPr>
          <w:b/>
          <w:color w:val="000000"/>
          <w:sz w:val="22"/>
          <w:szCs w:val="22"/>
        </w:rPr>
      </w:pPr>
      <w:r w:rsidRPr="00650FE0">
        <w:rPr>
          <w:b/>
          <w:color w:val="000000"/>
          <w:sz w:val="22"/>
          <w:szCs w:val="22"/>
        </w:rPr>
        <w:t>ZIŅOJUMS</w:t>
      </w:r>
    </w:p>
    <w:p w:rsidR="00783BDF" w:rsidRPr="00A84540" w:rsidRDefault="00783BDF" w:rsidP="00783BDF">
      <w:pPr>
        <w:rPr>
          <w:lang w:eastAsia="en-GB"/>
        </w:rPr>
      </w:pPr>
      <w:r>
        <w:rPr>
          <w:lang w:eastAsia="en-GB"/>
        </w:rPr>
        <w:t xml:space="preserve">                                                                  Nr.</w:t>
      </w:r>
      <w:r w:rsidR="003E6C7C">
        <w:rPr>
          <w:lang w:eastAsia="en-GB"/>
        </w:rPr>
        <w:t xml:space="preserve"> </w:t>
      </w:r>
      <w:r w:rsidR="000E2987">
        <w:rPr>
          <w:lang w:eastAsia="en-GB"/>
        </w:rPr>
        <w:t>LCB 2022/07</w:t>
      </w:r>
    </w:p>
    <w:p w:rsidR="00874FE7" w:rsidRPr="00D84CF3" w:rsidRDefault="00565A5F" w:rsidP="003E6C7C">
      <w:pPr>
        <w:pStyle w:val="Virsraksts1"/>
        <w:tabs>
          <w:tab w:val="center" w:pos="467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 uzaicinājumu</w:t>
      </w:r>
      <w:proofErr w:type="gramStart"/>
      <w:r>
        <w:rPr>
          <w:color w:val="000000"/>
          <w:sz w:val="22"/>
          <w:szCs w:val="22"/>
        </w:rPr>
        <w:t xml:space="preserve">  </w:t>
      </w:r>
      <w:proofErr w:type="gramEnd"/>
      <w:r>
        <w:rPr>
          <w:color w:val="000000"/>
          <w:sz w:val="22"/>
          <w:szCs w:val="22"/>
        </w:rPr>
        <w:t>pretendentiem</w:t>
      </w:r>
      <w:r w:rsidR="00874FE7" w:rsidRPr="00D84CF3">
        <w:rPr>
          <w:color w:val="000000"/>
          <w:sz w:val="22"/>
          <w:szCs w:val="22"/>
        </w:rPr>
        <w:t xml:space="preserve"> piedalīties aptaujā par līguma piešķiršanas tiesībām</w:t>
      </w:r>
    </w:p>
    <w:p w:rsidR="00874FE7" w:rsidRPr="00D84CF3" w:rsidRDefault="00874FE7" w:rsidP="00874FE7">
      <w:pPr>
        <w:pStyle w:val="Virsraksts1"/>
        <w:rPr>
          <w:b/>
          <w:bCs/>
          <w:color w:val="000000"/>
          <w:sz w:val="22"/>
          <w:szCs w:val="22"/>
        </w:rPr>
      </w:pPr>
      <w:r w:rsidRPr="00D84CF3">
        <w:rPr>
          <w:b/>
          <w:bCs/>
          <w:color w:val="000000"/>
          <w:sz w:val="22"/>
          <w:szCs w:val="22"/>
        </w:rPr>
        <w:t>“</w:t>
      </w:r>
      <w:r w:rsidR="00C36684">
        <w:rPr>
          <w:b/>
          <w:bCs/>
          <w:color w:val="000000"/>
          <w:sz w:val="22"/>
          <w:szCs w:val="22"/>
        </w:rPr>
        <w:t xml:space="preserve"> Ugunsdzēsības aparātu apkope</w:t>
      </w:r>
      <w:r>
        <w:rPr>
          <w:b/>
          <w:bCs/>
          <w:color w:val="000000"/>
          <w:sz w:val="22"/>
          <w:szCs w:val="22"/>
        </w:rPr>
        <w:t>”</w:t>
      </w:r>
    </w:p>
    <w:p w:rsidR="00874FE7" w:rsidRPr="00D84CF3" w:rsidRDefault="00874FE7" w:rsidP="00874FE7">
      <w:pPr>
        <w:jc w:val="center"/>
        <w:rPr>
          <w:b/>
          <w:bCs/>
          <w:color w:val="000000"/>
          <w:sz w:val="22"/>
          <w:szCs w:val="22"/>
        </w:rPr>
      </w:pPr>
    </w:p>
    <w:p w:rsidR="00874FE7" w:rsidRPr="00D84CF3" w:rsidRDefault="00874FE7" w:rsidP="00874FE7">
      <w:pPr>
        <w:pStyle w:val="Virsraksts2"/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  <w:bCs/>
          <w:color w:val="000000"/>
          <w:sz w:val="22"/>
          <w:szCs w:val="22"/>
        </w:rPr>
      </w:pPr>
      <w:r w:rsidRPr="00D84CF3">
        <w:rPr>
          <w:b/>
          <w:bCs/>
          <w:color w:val="000000"/>
          <w:sz w:val="22"/>
          <w:szCs w:val="22"/>
        </w:rPr>
        <w:t xml:space="preserve">Pasūtītājs: 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840"/>
      </w:tblGrid>
      <w:tr w:rsidR="00874FE7" w:rsidRPr="00D84CF3" w:rsidTr="003E6C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jc w:val="center"/>
              <w:rPr>
                <w:b/>
                <w:bCs/>
                <w:color w:val="000000"/>
              </w:rPr>
            </w:pPr>
            <w:r w:rsidRPr="00D84CF3">
              <w:rPr>
                <w:b/>
                <w:bCs/>
                <w:color w:val="000000"/>
                <w:sz w:val="22"/>
                <w:szCs w:val="22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pStyle w:val="Style2"/>
              <w:rPr>
                <w:color w:val="000000"/>
              </w:rPr>
            </w:pPr>
            <w:r w:rsidRPr="003D7B42">
              <w:rPr>
                <w:color w:val="000000"/>
              </w:rPr>
              <w:t>Latgales Centrālā bibliotēka</w:t>
            </w:r>
          </w:p>
        </w:tc>
      </w:tr>
      <w:tr w:rsidR="00874FE7" w:rsidRPr="00D84CF3" w:rsidTr="003E6C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Adrese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Rīgas iela 22a</w:t>
            </w:r>
            <w:r w:rsidRPr="00D84CF3">
              <w:rPr>
                <w:color w:val="000000"/>
                <w:sz w:val="22"/>
                <w:szCs w:val="22"/>
              </w:rPr>
              <w:t>, Daugavpils, LV-5401</w:t>
            </w:r>
          </w:p>
        </w:tc>
      </w:tr>
      <w:tr w:rsidR="00874FE7" w:rsidRPr="00D84CF3" w:rsidTr="003E6C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Reģ.nr.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rPr>
                <w:b/>
                <w:bCs/>
                <w:color w:val="000000"/>
              </w:rPr>
            </w:pPr>
            <w:r w:rsidRPr="00D84CF3">
              <w:rPr>
                <w:rStyle w:val="Izteiksmgs"/>
                <w:b w:val="0"/>
                <w:bCs w:val="0"/>
                <w:color w:val="000000"/>
                <w:sz w:val="22"/>
                <w:szCs w:val="22"/>
              </w:rPr>
              <w:t>9000</w:t>
            </w:r>
            <w:r>
              <w:rPr>
                <w:rStyle w:val="Izteiksmgs"/>
                <w:b w:val="0"/>
                <w:bCs w:val="0"/>
                <w:color w:val="000000"/>
                <w:sz w:val="22"/>
                <w:szCs w:val="22"/>
              </w:rPr>
              <w:t>0066637</w:t>
            </w:r>
          </w:p>
        </w:tc>
      </w:tr>
      <w:tr w:rsidR="00874FE7" w:rsidRPr="00D84CF3" w:rsidTr="003E6C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E7" w:rsidRPr="00D84CF3" w:rsidRDefault="00874FE7" w:rsidP="00874F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Saimniecības daļas vadītājs Ligorijs Plotiņš, mob. 29111931, e-pasts </w:t>
            </w:r>
            <w:hyperlink r:id="rId6" w:history="1">
              <w:r w:rsidRPr="008036F5">
                <w:rPr>
                  <w:rStyle w:val="Hipersaite"/>
                  <w:sz w:val="22"/>
                  <w:szCs w:val="22"/>
                </w:rPr>
                <w:t>ligorijs.plotins@lcb.lv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74FE7" w:rsidRPr="00837D39" w:rsidTr="003E6C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3E6C7C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 xml:space="preserve">Kontaktpersona </w:t>
            </w:r>
            <w:r>
              <w:rPr>
                <w:color w:val="000000"/>
              </w:rPr>
              <w:t xml:space="preserve">līguma slēgšanas </w:t>
            </w:r>
            <w:r w:rsidRPr="00D84CF3">
              <w:rPr>
                <w:color w:val="000000"/>
              </w:rPr>
              <w:t>jautājumos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E7" w:rsidRDefault="00874FE7" w:rsidP="003E6C7C">
            <w:pPr>
              <w:rPr>
                <w:color w:val="000000"/>
              </w:rPr>
            </w:pPr>
            <w:r w:rsidRPr="000639B3">
              <w:rPr>
                <w:color w:val="000000"/>
                <w:sz w:val="22"/>
                <w:szCs w:val="22"/>
              </w:rPr>
              <w:t xml:space="preserve">Jeļena Šapkova, LCB vadītāja, tālr.65426613,fakss 65476341, e-pasts: </w:t>
            </w:r>
            <w:hyperlink r:id="rId7" w:history="1">
              <w:r w:rsidRPr="000639B3">
                <w:rPr>
                  <w:rStyle w:val="Hipersaite"/>
                  <w:sz w:val="22"/>
                  <w:szCs w:val="22"/>
                </w:rPr>
                <w:t>jelena.sapkova@lcb.lv</w:t>
              </w:r>
            </w:hyperlink>
          </w:p>
        </w:tc>
      </w:tr>
    </w:tbl>
    <w:p w:rsidR="00874FE7" w:rsidRPr="00D84CF3" w:rsidRDefault="00874FE7" w:rsidP="00874FE7">
      <w:pPr>
        <w:jc w:val="both"/>
        <w:rPr>
          <w:color w:val="000000"/>
          <w:sz w:val="22"/>
          <w:szCs w:val="22"/>
        </w:rPr>
      </w:pPr>
    </w:p>
    <w:p w:rsidR="00874FE7" w:rsidRPr="00D84CF3" w:rsidRDefault="00874FE7" w:rsidP="00874FE7">
      <w:pPr>
        <w:jc w:val="both"/>
        <w:rPr>
          <w:b/>
          <w:bCs/>
          <w:color w:val="000000"/>
          <w:sz w:val="22"/>
          <w:szCs w:val="22"/>
        </w:rPr>
      </w:pPr>
    </w:p>
    <w:p w:rsidR="00874FE7" w:rsidRPr="003E6C7C" w:rsidRDefault="00FF4B9D" w:rsidP="00874FE7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360"/>
        <w:jc w:val="both"/>
      </w:pPr>
      <w:r w:rsidRPr="003E6C7C">
        <w:rPr>
          <w:b/>
          <w:bCs/>
          <w:color w:val="000000"/>
        </w:rPr>
        <w:t>Zemsliekšņa iepirkuma publicēšanas datums</w:t>
      </w:r>
      <w:r w:rsidRPr="003E6C7C">
        <w:t xml:space="preserve">: </w:t>
      </w:r>
      <w:r w:rsidR="00B16A39">
        <w:t>2022</w:t>
      </w:r>
      <w:r w:rsidR="003E6C7C" w:rsidRPr="003E6C7C">
        <w:t xml:space="preserve">. gada </w:t>
      </w:r>
      <w:r w:rsidR="000E2987">
        <w:t>2. maijs.</w:t>
      </w:r>
    </w:p>
    <w:p w:rsidR="00874FE7" w:rsidRPr="003E6C7C" w:rsidRDefault="00FF4B9D" w:rsidP="00874FE7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360"/>
        <w:jc w:val="both"/>
        <w:rPr>
          <w:b/>
          <w:bCs/>
          <w:color w:val="000000"/>
        </w:rPr>
      </w:pPr>
      <w:r w:rsidRPr="003E6C7C">
        <w:rPr>
          <w:b/>
          <w:bCs/>
          <w:color w:val="000000"/>
        </w:rPr>
        <w:t>Zemsliekšņa i</w:t>
      </w:r>
      <w:r w:rsidR="00971075" w:rsidRPr="003E6C7C">
        <w:rPr>
          <w:b/>
          <w:bCs/>
          <w:color w:val="000000"/>
        </w:rPr>
        <w:t>epirkuma mērķi</w:t>
      </w:r>
      <w:r w:rsidR="00874FE7" w:rsidRPr="003E6C7C">
        <w:rPr>
          <w:b/>
          <w:bCs/>
          <w:color w:val="000000"/>
        </w:rPr>
        <w:t xml:space="preserve">s: </w:t>
      </w:r>
      <w:r w:rsidR="000E2987">
        <w:rPr>
          <w:color w:val="000000"/>
        </w:rPr>
        <w:t xml:space="preserve">Latgales Centrālās bibliotēkas </w:t>
      </w:r>
      <w:r w:rsidR="00C36684">
        <w:rPr>
          <w:color w:val="000000"/>
        </w:rPr>
        <w:t xml:space="preserve">ugunsdzēsības aparātu apkope, </w:t>
      </w:r>
      <w:r w:rsidR="00FB40E7">
        <w:rPr>
          <w:color w:val="000000"/>
        </w:rPr>
        <w:t>atvēršana un labošana</w:t>
      </w:r>
      <w:r w:rsidR="000E2987">
        <w:rPr>
          <w:color w:val="000000"/>
        </w:rPr>
        <w:t>.</w:t>
      </w:r>
      <w:r w:rsidR="00FB40E7">
        <w:rPr>
          <w:color w:val="000000"/>
        </w:rPr>
        <w:t xml:space="preserve"> </w:t>
      </w:r>
    </w:p>
    <w:p w:rsidR="00874FE7" w:rsidRPr="003E6C7C" w:rsidRDefault="006073DD" w:rsidP="008B346D">
      <w:pPr>
        <w:pStyle w:val="Sarakstarindkopa"/>
        <w:widowControl/>
        <w:numPr>
          <w:ilvl w:val="0"/>
          <w:numId w:val="6"/>
        </w:numPr>
        <w:tabs>
          <w:tab w:val="clear" w:pos="720"/>
          <w:tab w:val="num" w:pos="284"/>
        </w:tabs>
        <w:suppressAutoHyphens w:val="0"/>
        <w:ind w:left="284" w:hanging="284"/>
        <w:rPr>
          <w:b/>
          <w:bCs/>
          <w:color w:val="000000"/>
        </w:rPr>
      </w:pPr>
      <w:r w:rsidRPr="003E6C7C">
        <w:rPr>
          <w:b/>
          <w:bCs/>
          <w:color w:val="000000"/>
        </w:rPr>
        <w:t xml:space="preserve">Plānotā līguma summa: </w:t>
      </w:r>
      <w:r w:rsidR="00FB40E7">
        <w:rPr>
          <w:bCs/>
          <w:color w:val="000000"/>
        </w:rPr>
        <w:t>līdz EUR 400</w:t>
      </w:r>
      <w:r w:rsidRPr="003E6C7C">
        <w:rPr>
          <w:bCs/>
          <w:color w:val="000000"/>
        </w:rPr>
        <w:t xml:space="preserve"> bez PVN</w:t>
      </w:r>
      <w:r w:rsidR="00AA12CF">
        <w:rPr>
          <w:bCs/>
          <w:color w:val="000000"/>
        </w:rPr>
        <w:t>. Pasūtītājam nav pienākums izlietot visu līguma summu.</w:t>
      </w:r>
    </w:p>
    <w:p w:rsidR="00874FE7" w:rsidRPr="003E6C7C" w:rsidRDefault="00874FE7" w:rsidP="00874FE7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b/>
          <w:bCs/>
          <w:color w:val="000000"/>
        </w:rPr>
      </w:pPr>
      <w:bookmarkStart w:id="0" w:name="_Toc134418278"/>
      <w:bookmarkStart w:id="1" w:name="_Toc134628683"/>
      <w:bookmarkStart w:id="2" w:name="_Toc337468672"/>
      <w:bookmarkStart w:id="3" w:name="_Toc341872544"/>
      <w:r w:rsidRPr="003E6C7C">
        <w:rPr>
          <w:b/>
          <w:bCs/>
          <w:color w:val="000000"/>
        </w:rPr>
        <w:t>Līguma darbības termiņš</w:t>
      </w:r>
      <w:bookmarkEnd w:id="0"/>
      <w:bookmarkEnd w:id="1"/>
      <w:bookmarkEnd w:id="2"/>
      <w:bookmarkEnd w:id="3"/>
      <w:r w:rsidRPr="003E6C7C">
        <w:rPr>
          <w:b/>
          <w:bCs/>
          <w:color w:val="000000"/>
        </w:rPr>
        <w:t>:</w:t>
      </w:r>
      <w:r w:rsidR="00B16A39">
        <w:rPr>
          <w:color w:val="000000"/>
        </w:rPr>
        <w:t xml:space="preserve"> 2022</w:t>
      </w:r>
      <w:r w:rsidR="00FB40E7">
        <w:rPr>
          <w:color w:val="000000"/>
        </w:rPr>
        <w:t>. gada maijs</w:t>
      </w:r>
      <w:r w:rsidRPr="003E6C7C">
        <w:rPr>
          <w:color w:val="000000"/>
        </w:rPr>
        <w:t>.</w:t>
      </w:r>
    </w:p>
    <w:p w:rsidR="00874FE7" w:rsidRPr="003E6C7C" w:rsidRDefault="000E2987" w:rsidP="00874FE7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Pakalpojuma</w:t>
      </w:r>
      <w:r w:rsidR="00811849" w:rsidRPr="003E6C7C">
        <w:rPr>
          <w:b/>
          <w:bCs/>
          <w:color w:val="000000"/>
        </w:rPr>
        <w:t xml:space="preserve"> apraksts:</w:t>
      </w:r>
    </w:p>
    <w:p w:rsidR="00874FE7" w:rsidRPr="003E6C7C" w:rsidRDefault="00A815E4" w:rsidP="001F37BF">
      <w:pPr>
        <w:pStyle w:val="Style1"/>
        <w:numPr>
          <w:ilvl w:val="0"/>
          <w:numId w:val="0"/>
        </w:numPr>
        <w:ind w:left="360"/>
        <w:rPr>
          <w:sz w:val="24"/>
          <w:szCs w:val="24"/>
        </w:rPr>
      </w:pPr>
      <w:r w:rsidRPr="003E6C7C">
        <w:rPr>
          <w:sz w:val="24"/>
          <w:szCs w:val="24"/>
        </w:rPr>
        <w:t>1.pielikumā (tehniskajā specifikācijā).</w:t>
      </w:r>
    </w:p>
    <w:p w:rsidR="00874FE7" w:rsidRPr="003E6C7C" w:rsidRDefault="00C819E8" w:rsidP="00874FE7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b/>
          <w:bCs/>
          <w:color w:val="000000"/>
        </w:rPr>
      </w:pPr>
      <w:bookmarkStart w:id="4" w:name="_Toc114559674"/>
      <w:bookmarkStart w:id="5" w:name="_Toc134628697"/>
      <w:bookmarkStart w:id="6" w:name="_Toc241495780"/>
      <w:r w:rsidRPr="003E6C7C">
        <w:rPr>
          <w:b/>
        </w:rPr>
        <w:t>Piedāvājuma iesniegšanas forma</w:t>
      </w:r>
      <w:r w:rsidRPr="003E6C7C">
        <w:t>:</w:t>
      </w:r>
      <w:r w:rsidR="00E04CE4">
        <w:t xml:space="preserve"> </w:t>
      </w:r>
    </w:p>
    <w:p w:rsidR="00874FE7" w:rsidRPr="003E6C7C" w:rsidRDefault="00C819E8" w:rsidP="00C819E8">
      <w:pPr>
        <w:pStyle w:val="Style1"/>
        <w:numPr>
          <w:ilvl w:val="0"/>
          <w:numId w:val="0"/>
        </w:numPr>
        <w:ind w:left="360"/>
        <w:rPr>
          <w:sz w:val="24"/>
          <w:szCs w:val="24"/>
        </w:rPr>
      </w:pPr>
      <w:r w:rsidRPr="003E6C7C">
        <w:rPr>
          <w:sz w:val="24"/>
          <w:szCs w:val="24"/>
        </w:rPr>
        <w:t>2. pielikumā (pretendenta finanšu</w:t>
      </w:r>
      <w:r w:rsidR="0089546A" w:rsidRPr="003E6C7C">
        <w:rPr>
          <w:sz w:val="24"/>
          <w:szCs w:val="24"/>
        </w:rPr>
        <w:t>/tehniskais piedāvājum</w:t>
      </w:r>
      <w:r w:rsidR="004F55DF">
        <w:rPr>
          <w:sz w:val="24"/>
          <w:szCs w:val="24"/>
        </w:rPr>
        <w:t>s</w:t>
      </w:r>
      <w:r w:rsidR="0089546A" w:rsidRPr="003E6C7C">
        <w:rPr>
          <w:sz w:val="24"/>
          <w:szCs w:val="24"/>
        </w:rPr>
        <w:t>).</w:t>
      </w:r>
    </w:p>
    <w:bookmarkEnd w:id="4"/>
    <w:bookmarkEnd w:id="5"/>
    <w:bookmarkEnd w:id="6"/>
    <w:p w:rsidR="00874FE7" w:rsidRPr="003E6C7C" w:rsidRDefault="000573FD" w:rsidP="00874FE7">
      <w:pPr>
        <w:widowControl/>
        <w:numPr>
          <w:ilvl w:val="0"/>
          <w:numId w:val="6"/>
        </w:numPr>
        <w:tabs>
          <w:tab w:val="clear" w:pos="720"/>
        </w:tabs>
        <w:suppressAutoHyphens w:val="0"/>
        <w:ind w:left="360"/>
        <w:rPr>
          <w:b/>
          <w:bCs/>
          <w:color w:val="000000"/>
        </w:rPr>
      </w:pPr>
      <w:r w:rsidRPr="003E6C7C">
        <w:rPr>
          <w:b/>
          <w:bCs/>
          <w:color w:val="000000"/>
        </w:rPr>
        <w:t>Kritērijs, pēc kura tiks izvēlēts izpildītājs</w:t>
      </w:r>
      <w:r w:rsidR="00874FE7" w:rsidRPr="003E6C7C">
        <w:rPr>
          <w:b/>
          <w:bCs/>
          <w:color w:val="000000"/>
        </w:rPr>
        <w:t xml:space="preserve">: </w:t>
      </w:r>
      <w:r w:rsidR="00E04CE4" w:rsidRPr="006E10C4">
        <w:rPr>
          <w:bCs/>
          <w:lang w:eastAsia="en-US"/>
        </w:rPr>
        <w:t>piedāvājums ar viszemāko cenu, kas atbilst tehniskās specifikācijas prasībām.</w:t>
      </w:r>
    </w:p>
    <w:p w:rsidR="00B73D10" w:rsidRPr="003E6C7C" w:rsidRDefault="00E72BEC" w:rsidP="008B346D">
      <w:pPr>
        <w:pStyle w:val="Sarakstarindkopa"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142" w:hanging="142"/>
      </w:pPr>
      <w:r w:rsidRPr="003E6C7C">
        <w:rPr>
          <w:b/>
          <w:lang w:eastAsia="en-US"/>
        </w:rPr>
        <w:t>Kvalifikācijas prasības:</w:t>
      </w:r>
      <w:r w:rsidRPr="003E6C7C">
        <w:t xml:space="preserve"> Pretendents ir reģistrēts Latvijas Republikas Uzņēmumu reģistrā vai</w:t>
      </w:r>
      <w:r w:rsidR="000E2987">
        <w:t xml:space="preserve"> līdzvērtīgā reģistrā ārvalstīs.</w:t>
      </w:r>
    </w:p>
    <w:p w:rsidR="00B73D10" w:rsidRPr="006E10C4" w:rsidRDefault="00B73D10" w:rsidP="00B73D10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10. </w:t>
      </w:r>
      <w:r w:rsidRPr="006E10C4">
        <w:rPr>
          <w:b/>
          <w:bCs/>
          <w:lang w:eastAsia="en-US"/>
        </w:rPr>
        <w:t xml:space="preserve">Piedāvājums iesniedzams: </w:t>
      </w:r>
      <w:r w:rsidRPr="006E10C4">
        <w:rPr>
          <w:bCs/>
          <w:lang w:eastAsia="en-US"/>
        </w:rPr>
        <w:t>līdz 202</w:t>
      </w:r>
      <w:r w:rsidR="00B16A39">
        <w:rPr>
          <w:bCs/>
          <w:lang w:eastAsia="en-US"/>
        </w:rPr>
        <w:t>2</w:t>
      </w:r>
      <w:r w:rsidRPr="006E10C4">
        <w:rPr>
          <w:bCs/>
          <w:lang w:eastAsia="en-US"/>
        </w:rPr>
        <w:t xml:space="preserve">. gada </w:t>
      </w:r>
      <w:r w:rsidR="00B16A39">
        <w:rPr>
          <w:bCs/>
          <w:lang w:eastAsia="en-US"/>
        </w:rPr>
        <w:t>11</w:t>
      </w:r>
      <w:r w:rsidRPr="006E10C4">
        <w:rPr>
          <w:bCs/>
          <w:lang w:eastAsia="en-US"/>
        </w:rPr>
        <w:t xml:space="preserve">. </w:t>
      </w:r>
      <w:r w:rsidR="00932D60">
        <w:rPr>
          <w:bCs/>
          <w:lang w:eastAsia="en-US"/>
        </w:rPr>
        <w:t>maija</w:t>
      </w:r>
      <w:r w:rsidR="000E2987">
        <w:rPr>
          <w:bCs/>
          <w:lang w:eastAsia="en-US"/>
        </w:rPr>
        <w:t>m</w:t>
      </w:r>
      <w:r w:rsidRPr="006E10C4">
        <w:rPr>
          <w:bCs/>
          <w:lang w:eastAsia="en-US"/>
        </w:rPr>
        <w:t>, plkst.</w:t>
      </w:r>
      <w:r w:rsidR="003E6C7C">
        <w:rPr>
          <w:bCs/>
          <w:lang w:eastAsia="en-US"/>
        </w:rPr>
        <w:t xml:space="preserve"> 12.</w:t>
      </w:r>
      <w:r w:rsidRPr="006E10C4">
        <w:rPr>
          <w:bCs/>
          <w:lang w:eastAsia="en-US"/>
        </w:rPr>
        <w:t xml:space="preserve">00. </w:t>
      </w:r>
    </w:p>
    <w:p w:rsidR="00B73D10" w:rsidRPr="006E10C4" w:rsidRDefault="00B73D10" w:rsidP="00B73D10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11. </w:t>
      </w:r>
      <w:r w:rsidRPr="006E10C4">
        <w:rPr>
          <w:b/>
          <w:bCs/>
          <w:lang w:eastAsia="en-US"/>
        </w:rPr>
        <w:t>Informācija par rezultātiem: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8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FF1F02" w:rsidRPr="006E10C4" w:rsidRDefault="00FF1F02" w:rsidP="003E6C7C">
      <w:pPr>
        <w:spacing w:after="120"/>
      </w:pPr>
      <w:r w:rsidRPr="006E10C4">
        <w:rPr>
          <w:b/>
          <w:bCs/>
          <w:lang w:eastAsia="en-US"/>
        </w:rPr>
        <w:t>12. Piedāvājumu var iesniegt</w:t>
      </w:r>
      <w:r w:rsidRPr="006E10C4">
        <w:rPr>
          <w:bCs/>
          <w:lang w:eastAsia="en-US"/>
        </w:rPr>
        <w:t>:</w:t>
      </w:r>
      <w:r w:rsidRPr="006E10C4">
        <w:rPr>
          <w:bCs/>
          <w:lang w:eastAsia="en-US"/>
        </w:rPr>
        <w:br/>
        <w:t xml:space="preserve">12.1. </w:t>
      </w:r>
      <w:r w:rsidRPr="006E10C4">
        <w:t xml:space="preserve">personīgi, vai pa pastu pēc adreses </w:t>
      </w:r>
      <w:r w:rsidRPr="003E6C7C">
        <w:rPr>
          <w:rStyle w:val="Izteiksmgs"/>
          <w:b w:val="0"/>
          <w:color w:val="000000"/>
        </w:rPr>
        <w:t>Rīgas ielā 22a</w:t>
      </w:r>
      <w:r w:rsidRPr="003E6C7C">
        <w:rPr>
          <w:b/>
        </w:rPr>
        <w:t>,</w:t>
      </w:r>
      <w:r w:rsidRPr="006E10C4">
        <w:t xml:space="preserve"> Dau</w:t>
      </w:r>
      <w:r w:rsidR="003E6C7C">
        <w:t xml:space="preserve">gavpilī, LV-5401 (3. stāvs, </w:t>
      </w:r>
      <w:r w:rsidRPr="006E10C4">
        <w:t>administrācijai);</w:t>
      </w:r>
    </w:p>
    <w:p w:rsidR="00FF1F02" w:rsidRPr="006E10C4" w:rsidRDefault="00FF1F02" w:rsidP="003E6C7C">
      <w:pPr>
        <w:spacing w:after="12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 xml:space="preserve">12.2. </w:t>
      </w:r>
      <w:r w:rsidRPr="006E10C4">
        <w:t xml:space="preserve">elektroniski (e-pasts: </w:t>
      </w:r>
      <w:hyperlink r:id="rId9" w:history="1">
        <w:r w:rsidRPr="006E10C4">
          <w:rPr>
            <w:rStyle w:val="Hipersaite"/>
          </w:rPr>
          <w:t>jelena.sapkova@lcb.lv</w:t>
        </w:r>
      </w:hyperlink>
      <w:r w:rsidRPr="006E10C4">
        <w:t xml:space="preserve">). Elektroniskajam piedāvājumam jābūt </w:t>
      </w:r>
      <w:r w:rsidR="003E6C7C">
        <w:t xml:space="preserve">PDF formātā vai </w:t>
      </w:r>
      <w:r w:rsidRPr="006E10C4">
        <w:t>parakstītam ar drošu elektronisku parakstu</w:t>
      </w:r>
      <w:r w:rsidR="003E6C7C">
        <w:t>.</w:t>
      </w:r>
    </w:p>
    <w:p w:rsidR="00FF1F02" w:rsidRPr="006E10C4" w:rsidRDefault="00FF1F02" w:rsidP="00FF1F02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>13. Citi nosacījumi:</w:t>
      </w:r>
    </w:p>
    <w:p w:rsidR="00FF1F02" w:rsidRPr="006E10C4" w:rsidRDefault="00FF1F02" w:rsidP="00FF1F02">
      <w:pPr>
        <w:spacing w:after="120"/>
        <w:jc w:val="both"/>
      </w:pPr>
      <w:r w:rsidRPr="006E10C4">
        <w:rPr>
          <w:bCs/>
          <w:lang w:eastAsia="en-US"/>
        </w:rPr>
        <w:t xml:space="preserve">13.1.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FF1F02" w:rsidRPr="00FE3D97" w:rsidRDefault="00FF1F02" w:rsidP="00FF1F02">
      <w:pPr>
        <w:spacing w:after="120"/>
        <w:jc w:val="both"/>
        <w:rPr>
          <w:bCs/>
        </w:rPr>
      </w:pPr>
      <w:r w:rsidRPr="00FE3D97">
        <w:rPr>
          <w:bCs/>
        </w:rPr>
        <w:t>13.2. Pēc norādītā piedāvājumu iesniegšanas termiņa saņemtie piedāvājumi netiek vērtēti.</w:t>
      </w:r>
    </w:p>
    <w:p w:rsidR="00FF1F02" w:rsidRPr="006E10C4" w:rsidRDefault="00FF1F02" w:rsidP="00FF1F02">
      <w:pPr>
        <w:spacing w:after="120"/>
        <w:jc w:val="both"/>
        <w:rPr>
          <w:bCs/>
        </w:rPr>
      </w:pPr>
      <w:r w:rsidRPr="00FE3D97">
        <w:rPr>
          <w:bCs/>
        </w:rPr>
        <w:t xml:space="preserve">13.3. Pretendents var iesniegt tikai vienu piedāvājumu par visu iepirkuma priekšmetu kopā. </w:t>
      </w:r>
      <w:r w:rsidRPr="006E10C4">
        <w:rPr>
          <w:bCs/>
        </w:rPr>
        <w:t>Piedāvājumu variantu iesniegšana nav atļauta.</w:t>
      </w:r>
    </w:p>
    <w:p w:rsidR="00FF1F02" w:rsidRPr="00ED506E" w:rsidRDefault="00FF1F02" w:rsidP="00A84540">
      <w:pPr>
        <w:widowControl/>
        <w:suppressAutoHyphens w:val="0"/>
        <w:rPr>
          <w:color w:val="000000"/>
          <w:sz w:val="22"/>
          <w:szCs w:val="22"/>
        </w:rPr>
      </w:pPr>
      <w:r w:rsidRPr="006E10C4">
        <w:rPr>
          <w:bCs/>
        </w:rPr>
        <w:lastRenderedPageBreak/>
        <w:t>13.4</w:t>
      </w:r>
      <w:r w:rsidR="00A84540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Apmaksa par pakalpojumu tiks veikta </w:t>
      </w:r>
      <w:r>
        <w:t>10 (desmit) darba dienu laikā pēc darba nodošanas-pieņemšanas akta parakstīšanas un rēķina piestādīšanas.</w:t>
      </w:r>
    </w:p>
    <w:p w:rsidR="00FF1F02" w:rsidRPr="00DE6E91" w:rsidRDefault="00FF1F02" w:rsidP="00FF1F02">
      <w:pPr>
        <w:pStyle w:val="Sarakstarindkopa1"/>
        <w:tabs>
          <w:tab w:val="left" w:pos="2340"/>
        </w:tabs>
        <w:ind w:left="0"/>
        <w:rPr>
          <w:lang w:val="lv-LV"/>
        </w:rPr>
      </w:pPr>
    </w:p>
    <w:p w:rsidR="00FF1F02" w:rsidRPr="006E10C4" w:rsidRDefault="00FF1F02" w:rsidP="00FF1F02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="00FE3D97">
        <w:rPr>
          <w:b w:val="0"/>
          <w:lang w:val="lv-LV"/>
        </w:rPr>
        <w:t>Tehniskā specifikācija,</w:t>
      </w:r>
    </w:p>
    <w:p w:rsidR="00FF1F02" w:rsidRPr="00FE3D97" w:rsidRDefault="00FF1F02" w:rsidP="00FF1F02">
      <w:pPr>
        <w:pStyle w:val="Nosaukums"/>
        <w:tabs>
          <w:tab w:val="left" w:pos="206"/>
        </w:tabs>
        <w:jc w:val="left"/>
        <w:rPr>
          <w:b w:val="0"/>
          <w:i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>Pretendenta finanšu/tehniskais piedāvājums</w:t>
      </w:r>
    </w:p>
    <w:p w:rsidR="00FE3D97" w:rsidRPr="004F0018" w:rsidRDefault="00FE3D97" w:rsidP="00A84540">
      <w:r>
        <w:t xml:space="preserve">                            </w:t>
      </w:r>
    </w:p>
    <w:p w:rsidR="00FE3D97" w:rsidRPr="004F0018" w:rsidRDefault="00FE3D97" w:rsidP="00A84540">
      <w:r>
        <w:t xml:space="preserve"> </w:t>
      </w:r>
      <w:r>
        <w:tab/>
      </w:r>
    </w:p>
    <w:p w:rsidR="00FF1F02" w:rsidRPr="006E10C4" w:rsidRDefault="00FF1F02" w:rsidP="00FF1F02">
      <w:pPr>
        <w:suppressAutoHyphens w:val="0"/>
      </w:pPr>
    </w:p>
    <w:p w:rsidR="00FF1F02" w:rsidRPr="006E10C4" w:rsidRDefault="00FF1F02" w:rsidP="00FF1F02">
      <w:pPr>
        <w:suppressAutoHyphens w:val="0"/>
      </w:pPr>
    </w:p>
    <w:p w:rsidR="00FF1F02" w:rsidRPr="006E10C4" w:rsidRDefault="00FF1F02" w:rsidP="00FF1F02">
      <w:pPr>
        <w:suppressAutoHyphens w:val="0"/>
      </w:pPr>
    </w:p>
    <w:p w:rsidR="00874FE7" w:rsidRPr="00802952" w:rsidRDefault="00874FE7" w:rsidP="00932D60">
      <w:pPr>
        <w:pStyle w:val="Sarakstarindkopa1"/>
        <w:ind w:left="0"/>
        <w:jc w:val="right"/>
        <w:rPr>
          <w:b/>
          <w:color w:val="000000"/>
          <w:lang w:eastAsia="ja-JP"/>
        </w:rPr>
      </w:pPr>
      <w:r w:rsidRPr="00DE6E91">
        <w:rPr>
          <w:lang w:val="lv-LV"/>
        </w:rPr>
        <w:br w:type="page"/>
      </w:r>
    </w:p>
    <w:p w:rsidR="00932D60" w:rsidRDefault="00932D60" w:rsidP="00932D6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</w:rPr>
      </w:pPr>
    </w:p>
    <w:p w:rsidR="00932D60" w:rsidRDefault="00AA1A89" w:rsidP="00932D60">
      <w:pPr>
        <w:tabs>
          <w:tab w:val="left" w:pos="3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1.pielikums</w:t>
      </w:r>
    </w:p>
    <w:p w:rsidR="00AA1A89" w:rsidRPr="00C160E8" w:rsidRDefault="000E2987" w:rsidP="00C160E8">
      <w:pPr>
        <w:pStyle w:val="Sarakstarindkopa"/>
        <w:tabs>
          <w:tab w:val="left" w:pos="360"/>
        </w:tabs>
        <w:ind w:left="5295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Iepirkumam Nr. LCB 2022/07</w:t>
      </w:r>
    </w:p>
    <w:p w:rsidR="00AA1A89" w:rsidRDefault="00AA1A89" w:rsidP="00AA1A89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</w:rPr>
      </w:pPr>
    </w:p>
    <w:p w:rsidR="00932D60" w:rsidRDefault="00932D60" w:rsidP="00932D6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Tehniskā specifikācija</w:t>
      </w:r>
    </w:p>
    <w:p w:rsidR="00932D60" w:rsidRDefault="00932D60" w:rsidP="00932D60">
      <w:pPr>
        <w:tabs>
          <w:tab w:val="left" w:pos="360"/>
        </w:tabs>
        <w:rPr>
          <w:color w:val="000000"/>
          <w:sz w:val="22"/>
          <w:szCs w:val="22"/>
        </w:rPr>
      </w:pPr>
    </w:p>
    <w:p w:rsidR="00932D60" w:rsidRDefault="00932D60" w:rsidP="000E2987">
      <w:pPr>
        <w:widowControl/>
        <w:tabs>
          <w:tab w:val="left" w:pos="360"/>
          <w:tab w:val="left" w:pos="540"/>
        </w:tabs>
        <w:suppressAutoHyphens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Uguns</w:t>
      </w:r>
      <w:r w:rsidR="001F3CC8">
        <w:rPr>
          <w:b/>
          <w:bCs/>
          <w:color w:val="000000"/>
          <w:sz w:val="22"/>
          <w:szCs w:val="22"/>
        </w:rPr>
        <w:t>dzēsības aparātu apkope, uzpildi</w:t>
      </w:r>
      <w:r>
        <w:rPr>
          <w:b/>
          <w:bCs/>
          <w:color w:val="000000"/>
          <w:sz w:val="22"/>
          <w:szCs w:val="22"/>
        </w:rPr>
        <w:t xml:space="preserve"> un remonts</w:t>
      </w:r>
    </w:p>
    <w:p w:rsidR="00932D60" w:rsidRDefault="00932D60" w:rsidP="00932D60">
      <w:pPr>
        <w:tabs>
          <w:tab w:val="left" w:pos="360"/>
        </w:tabs>
        <w:ind w:left="360"/>
        <w:rPr>
          <w:b/>
          <w:bCs/>
          <w:color w:val="000000"/>
          <w:sz w:val="22"/>
          <w:szCs w:val="22"/>
        </w:rPr>
      </w:pPr>
    </w:p>
    <w:p w:rsidR="00932D60" w:rsidRDefault="00932D60" w:rsidP="00932D60">
      <w:pPr>
        <w:tabs>
          <w:tab w:val="left" w:pos="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Ugunsdzēsības aparātu savākšana un piegādāšana norādītajās adresēs ir iekļauta pārbaudes cenā. Pēc pārbaudes ugunsdzēsības aparātam tiek uzlīmēta jauna tehniskās apkopes</w:t>
      </w:r>
      <w:r w:rsidR="000E2987">
        <w:rPr>
          <w:color w:val="000000"/>
          <w:sz w:val="22"/>
          <w:szCs w:val="22"/>
        </w:rPr>
        <w:t xml:space="preserve"> uzlīme. Apkopes paredzamas 2022</w:t>
      </w:r>
      <w:r>
        <w:rPr>
          <w:color w:val="000000"/>
          <w:sz w:val="22"/>
          <w:szCs w:val="22"/>
        </w:rPr>
        <w:t xml:space="preserve">. gada maijā, datums iepriekš jāsaskaņo ar Pasūtītāju. Objekti jānodrošina ar ekvivalentiem ugunsdzēsības aparātiem uz apkopes laiku, ja ugunsdzēsības aparātus plānots izņemt no objekta. Objektos atrodas </w:t>
      </w:r>
      <w:proofErr w:type="spellStart"/>
      <w:r>
        <w:rPr>
          <w:color w:val="000000"/>
          <w:sz w:val="22"/>
          <w:szCs w:val="22"/>
        </w:rPr>
        <w:t>Valpro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Ogniochron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Emme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Anticendio</w:t>
      </w:r>
      <w:proofErr w:type="spellEnd"/>
      <w:r>
        <w:rPr>
          <w:color w:val="000000"/>
          <w:sz w:val="22"/>
          <w:szCs w:val="22"/>
        </w:rPr>
        <w:t xml:space="preserve"> ražoti ugunsdzēsības aparāti.</w:t>
      </w:r>
    </w:p>
    <w:p w:rsidR="00932D60" w:rsidRDefault="00932D60" w:rsidP="00932D60">
      <w:pPr>
        <w:tabs>
          <w:tab w:val="left" w:pos="360"/>
        </w:tabs>
        <w:rPr>
          <w:color w:val="000000"/>
          <w:sz w:val="22"/>
          <w:szCs w:val="22"/>
        </w:rPr>
      </w:pPr>
    </w:p>
    <w:tbl>
      <w:tblPr>
        <w:tblW w:w="644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579"/>
        <w:gridCol w:w="3960"/>
        <w:gridCol w:w="901"/>
      </w:tblGrid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N. p. k.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Ugunsdzēsības aparātu tips un tilpums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Skaits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Latgales Centrālā bibliotēka. Rīgas iela 22A,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PA-2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PA-1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OA-5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Latgales Centrālās bibliotēkas filiāle Bērnu bibliotēka „Zīlīte” </w:t>
            </w:r>
            <w:proofErr w:type="spellStart"/>
            <w:r>
              <w:rPr>
                <w:color w:val="000000"/>
                <w:sz w:val="22"/>
                <w:szCs w:val="22"/>
              </w:rPr>
              <w:t>Mihoelsa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iela 58,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Latgales Centrālās bibliotēkas filiāle Jaunbūves bibliotēka. 18. Novembra iela 161,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PA-2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A1A89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A1A89" w:rsidRDefault="00AA1A89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A1A89" w:rsidRDefault="00AA1A89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OA-2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A1A89" w:rsidRDefault="00AA1A89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Latgales Centrālās bibliotēkas filiāle Piekrastes bibliotēka</w:t>
            </w:r>
          </w:p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Aveņu iela 40,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Latgales Centrālās bibliotēkas filiāle Pārdaugavas bibliotēka komunālā iela 2,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Latgales Centrālās bibliotēkas filiāle Gaismas bibliotēka </w:t>
            </w:r>
          </w:p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Gaismas iela 9,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32D60" w:rsidTr="00FE7390">
        <w:trPr>
          <w:jc w:val="center"/>
        </w:trPr>
        <w:tc>
          <w:tcPr>
            <w:tcW w:w="6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Latgales Centrālās bibliotēkas filiāle Ceriņu bibliotēka</w:t>
            </w:r>
          </w:p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Lauska iela 16, Daugavpils</w:t>
            </w:r>
          </w:p>
        </w:tc>
      </w:tr>
      <w:tr w:rsidR="00932D60" w:rsidTr="00FE7390">
        <w:trPr>
          <w:jc w:val="center"/>
        </w:trPr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D60" w:rsidRDefault="00932D60" w:rsidP="00FE7390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932D60" w:rsidRDefault="00932D60" w:rsidP="00932D60">
      <w:pPr>
        <w:tabs>
          <w:tab w:val="left" w:pos="360"/>
        </w:tabs>
        <w:rPr>
          <w:color w:val="000000"/>
          <w:sz w:val="22"/>
          <w:szCs w:val="22"/>
        </w:rPr>
      </w:pPr>
    </w:p>
    <w:p w:rsidR="00932D60" w:rsidRDefault="00932D60" w:rsidP="00932D6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Ugunsdzēsības aparātu tipa un tilpuma apzīmējumi:</w:t>
      </w:r>
    </w:p>
    <w:p w:rsidR="00932D60" w:rsidRDefault="00932D60" w:rsidP="00932D60">
      <w:pPr>
        <w:pStyle w:val="Sarakstarindkopa"/>
        <w:widowControl/>
        <w:numPr>
          <w:ilvl w:val="0"/>
          <w:numId w:val="14"/>
        </w:numPr>
        <w:suppressAutoHyphens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PA-6 – 6 kg, ABC pulveris (43A 233BC)</w:t>
      </w:r>
    </w:p>
    <w:p w:rsidR="00932D60" w:rsidRDefault="00932D60" w:rsidP="00932D60">
      <w:pPr>
        <w:pStyle w:val="Sarakstarindkopa"/>
        <w:widowControl/>
        <w:numPr>
          <w:ilvl w:val="0"/>
          <w:numId w:val="14"/>
        </w:num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PA-4 – </w:t>
      </w:r>
      <w:r>
        <w:rPr>
          <w:bCs/>
          <w:color w:val="000000"/>
          <w:sz w:val="22"/>
          <w:szCs w:val="22"/>
        </w:rPr>
        <w:t>4 kg, ABC pulveris (21A 1133BC)</w:t>
      </w:r>
    </w:p>
    <w:p w:rsidR="00932D60" w:rsidRDefault="00932D60" w:rsidP="00932D60">
      <w:pPr>
        <w:pStyle w:val="Sarakstarindkopa"/>
        <w:widowControl/>
        <w:numPr>
          <w:ilvl w:val="0"/>
          <w:numId w:val="14"/>
        </w:num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PA-2 - </w:t>
      </w:r>
      <w:r>
        <w:rPr>
          <w:bCs/>
          <w:color w:val="000000"/>
          <w:sz w:val="22"/>
          <w:szCs w:val="22"/>
        </w:rPr>
        <w:t>2 kg, ABC pulveris (8A 55BC)</w:t>
      </w:r>
    </w:p>
    <w:p w:rsidR="00932D60" w:rsidRDefault="00932D60" w:rsidP="00932D60">
      <w:pPr>
        <w:pStyle w:val="Sarakstarindkopa"/>
        <w:widowControl/>
        <w:numPr>
          <w:ilvl w:val="0"/>
          <w:numId w:val="14"/>
        </w:num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PA-1 - </w:t>
      </w:r>
      <w:r>
        <w:rPr>
          <w:bCs/>
          <w:color w:val="000000"/>
          <w:sz w:val="22"/>
          <w:szCs w:val="22"/>
        </w:rPr>
        <w:t>1 kg, ABC pulveris (8A 34BC)</w:t>
      </w:r>
    </w:p>
    <w:p w:rsidR="00932D60" w:rsidRDefault="00AA1A89" w:rsidP="00932D60">
      <w:pPr>
        <w:pStyle w:val="Sarakstarindkopa"/>
        <w:widowControl/>
        <w:numPr>
          <w:ilvl w:val="0"/>
          <w:numId w:val="14"/>
        </w:num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OA-5 – 5 kg, CO2</w:t>
      </w:r>
      <w:r w:rsidR="00932D60">
        <w:rPr>
          <w:color w:val="000000"/>
          <w:sz w:val="22"/>
          <w:szCs w:val="22"/>
          <w:vertAlign w:val="subscript"/>
        </w:rPr>
        <w:t xml:space="preserve"> </w:t>
      </w:r>
      <w:r w:rsidR="00932D60">
        <w:rPr>
          <w:color w:val="000000"/>
          <w:sz w:val="22"/>
          <w:szCs w:val="22"/>
        </w:rPr>
        <w:t>gāzes (113B)</w:t>
      </w:r>
    </w:p>
    <w:p w:rsidR="00932D60" w:rsidRPr="00AA1A89" w:rsidRDefault="00932D60" w:rsidP="00932D60">
      <w:pPr>
        <w:pStyle w:val="Sarakstarindkopa"/>
        <w:widowControl/>
        <w:numPr>
          <w:ilvl w:val="0"/>
          <w:numId w:val="14"/>
        </w:numPr>
        <w:suppressAutoHyphens w:val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OA-2 -  2kg, </w:t>
      </w:r>
      <w:r w:rsidR="00AA1A89">
        <w:rPr>
          <w:color w:val="000000"/>
          <w:sz w:val="22"/>
          <w:szCs w:val="22"/>
        </w:rPr>
        <w:t xml:space="preserve">CO2 gāzes ( </w:t>
      </w:r>
      <w:r w:rsidR="00AA1A89" w:rsidRPr="00AA1A89">
        <w:rPr>
          <w:color w:val="000000"/>
          <w:sz w:val="22"/>
          <w:szCs w:val="22"/>
        </w:rPr>
        <w:t>21B</w:t>
      </w:r>
      <w:r w:rsidR="00AA1A89">
        <w:rPr>
          <w:color w:val="000000"/>
          <w:sz w:val="22"/>
          <w:szCs w:val="22"/>
        </w:rPr>
        <w:t>)</w:t>
      </w:r>
    </w:p>
    <w:p w:rsidR="00932D60" w:rsidRDefault="00932D60" w:rsidP="00932D60">
      <w:pPr>
        <w:jc w:val="right"/>
        <w:rPr>
          <w:color w:val="000000"/>
          <w:sz w:val="22"/>
          <w:szCs w:val="22"/>
        </w:rPr>
      </w:pPr>
    </w:p>
    <w:p w:rsidR="000E2987" w:rsidRPr="006E10C4" w:rsidRDefault="00932D60" w:rsidP="000E2987">
      <w:pPr>
        <w:rPr>
          <w:bCs/>
        </w:rPr>
      </w:pPr>
      <w:r>
        <w:rPr>
          <w:color w:val="000000"/>
          <w:sz w:val="22"/>
          <w:szCs w:val="22"/>
        </w:rPr>
        <w:t>Tehnisko specifikāciju sagatavoja Latgales Centrālās bibliotēkas saimniecības d</w:t>
      </w:r>
      <w:r w:rsidR="000E2987">
        <w:rPr>
          <w:color w:val="000000"/>
          <w:sz w:val="22"/>
          <w:szCs w:val="22"/>
        </w:rPr>
        <w:t xml:space="preserve">aļas vadītājs: </w:t>
      </w:r>
      <w:proofErr w:type="spellStart"/>
      <w:r w:rsidR="000E2987">
        <w:rPr>
          <w:color w:val="000000"/>
          <w:sz w:val="22"/>
          <w:szCs w:val="22"/>
        </w:rPr>
        <w:t>Ligorijs</w:t>
      </w:r>
      <w:proofErr w:type="spellEnd"/>
      <w:r w:rsidR="000E2987">
        <w:rPr>
          <w:color w:val="000000"/>
          <w:sz w:val="22"/>
          <w:szCs w:val="22"/>
        </w:rPr>
        <w:t xml:space="preserve"> </w:t>
      </w:r>
      <w:proofErr w:type="spellStart"/>
      <w:r w:rsidR="000E2987">
        <w:rPr>
          <w:color w:val="000000"/>
          <w:sz w:val="22"/>
          <w:szCs w:val="22"/>
        </w:rPr>
        <w:t>Plotiņš</w:t>
      </w:r>
      <w:proofErr w:type="spellEnd"/>
      <w:r w:rsidR="000E2987">
        <w:rPr>
          <w:color w:val="000000"/>
          <w:sz w:val="22"/>
          <w:szCs w:val="22"/>
        </w:rPr>
        <w:t xml:space="preserve">, tālr. </w:t>
      </w:r>
      <w:r w:rsidR="000E2987">
        <w:t>29111931</w:t>
      </w:r>
    </w:p>
    <w:p w:rsidR="00932D60" w:rsidRDefault="00932D60" w:rsidP="00932D60">
      <w:pPr>
        <w:rPr>
          <w:color w:val="000000"/>
          <w:sz w:val="22"/>
          <w:szCs w:val="22"/>
        </w:rPr>
      </w:pPr>
    </w:p>
    <w:p w:rsidR="00932D60" w:rsidRDefault="00932D60" w:rsidP="00932D60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2.pielikums</w:t>
      </w:r>
    </w:p>
    <w:p w:rsidR="00EF49FF" w:rsidRDefault="00EF49FF" w:rsidP="00C160E8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</w:t>
      </w:r>
      <w:r w:rsidR="000E2987">
        <w:rPr>
          <w:color w:val="000000"/>
          <w:sz w:val="22"/>
          <w:szCs w:val="22"/>
        </w:rPr>
        <w:t>Iepirkumam Nr. LCB 2022/07</w:t>
      </w:r>
    </w:p>
    <w:p w:rsidR="000E2987" w:rsidRDefault="000E2987" w:rsidP="00C160E8">
      <w:pPr>
        <w:jc w:val="right"/>
        <w:rPr>
          <w:color w:val="000000"/>
          <w:sz w:val="22"/>
          <w:szCs w:val="22"/>
        </w:rPr>
      </w:pPr>
    </w:p>
    <w:p w:rsidR="00932D60" w:rsidRDefault="00932D60" w:rsidP="00932D60">
      <w:pPr>
        <w:jc w:val="center"/>
        <w:rPr>
          <w:b/>
          <w:bCs/>
        </w:rPr>
      </w:pPr>
      <w:r>
        <w:rPr>
          <w:b/>
          <w:bCs/>
        </w:rPr>
        <w:t>FINANŠU / TEHNISKAIS PIEDĀVĀJUMS</w:t>
      </w:r>
    </w:p>
    <w:p w:rsidR="00932D60" w:rsidRDefault="00932D60" w:rsidP="00932D60">
      <w:pPr>
        <w:ind w:left="4962"/>
        <w:jc w:val="right"/>
        <w:rPr>
          <w:b/>
          <w:bCs/>
        </w:rPr>
      </w:pPr>
    </w:p>
    <w:p w:rsidR="00932D60" w:rsidRDefault="00932D60" w:rsidP="00932D60">
      <w:pPr>
        <w:ind w:left="4962"/>
        <w:jc w:val="right"/>
        <w:rPr>
          <w:b/>
          <w:bCs/>
        </w:rPr>
      </w:pPr>
    </w:p>
    <w:p w:rsidR="00932D60" w:rsidRDefault="00932D60" w:rsidP="00932D6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Latgales Centrālajai bibliotēkai</w:t>
      </w:r>
    </w:p>
    <w:p w:rsidR="00932D60" w:rsidRDefault="00932D60" w:rsidP="00932D60">
      <w:pPr>
        <w:rPr>
          <w:b/>
          <w:bCs/>
          <w:sz w:val="22"/>
          <w:szCs w:val="22"/>
        </w:rPr>
      </w:pPr>
    </w:p>
    <w:p w:rsidR="00932D60" w:rsidRDefault="00932D60" w:rsidP="00932D60">
      <w:pPr>
        <w:jc w:val="both"/>
        <w:rPr>
          <w:sz w:val="22"/>
          <w:szCs w:val="22"/>
        </w:rPr>
      </w:pPr>
    </w:p>
    <w:p w:rsidR="00932D60" w:rsidRDefault="00932D60" w:rsidP="00932D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Pretendents _________ </w:t>
      </w:r>
      <w:r>
        <w:rPr>
          <w:i/>
          <w:iCs/>
          <w:sz w:val="22"/>
          <w:szCs w:val="22"/>
        </w:rPr>
        <w:t xml:space="preserve">(nosaukums) </w:t>
      </w:r>
      <w:r>
        <w:rPr>
          <w:sz w:val="22"/>
          <w:szCs w:val="22"/>
        </w:rPr>
        <w:t>piedāvā nodrošināt cenu aptaujas “</w:t>
      </w:r>
      <w:r>
        <w:rPr>
          <w:color w:val="000000"/>
          <w:sz w:val="22"/>
          <w:szCs w:val="22"/>
        </w:rPr>
        <w:t>Ugunsdzēsības aparātu apkope</w:t>
      </w:r>
      <w:r>
        <w:rPr>
          <w:sz w:val="22"/>
          <w:szCs w:val="22"/>
        </w:rPr>
        <w:t>” priekšmeta izpildi atbilstoši Tehniskajai specifikācijai par šādu cenu:</w:t>
      </w:r>
      <w:r w:rsidR="00E04CE4">
        <w:rPr>
          <w:sz w:val="22"/>
          <w:szCs w:val="22"/>
        </w:rPr>
        <w:t xml:space="preserve"> </w:t>
      </w:r>
    </w:p>
    <w:p w:rsidR="00E04CE4" w:rsidRDefault="00E04CE4" w:rsidP="00932D60">
      <w:pPr>
        <w:jc w:val="both"/>
        <w:rPr>
          <w:sz w:val="22"/>
          <w:szCs w:val="22"/>
        </w:rPr>
      </w:pPr>
    </w:p>
    <w:tbl>
      <w:tblPr>
        <w:tblW w:w="9456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717"/>
        <w:gridCol w:w="2009"/>
        <w:gridCol w:w="1775"/>
        <w:gridCol w:w="1984"/>
        <w:gridCol w:w="2971"/>
      </w:tblGrid>
      <w:tr w:rsidR="00E04CE4" w:rsidTr="003D3FBA">
        <w:trPr>
          <w:trHeight w:val="272"/>
        </w:trPr>
        <w:tc>
          <w:tcPr>
            <w:tcW w:w="7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b/>
                <w:bCs/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20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b/>
                <w:bCs/>
                <w:color w:val="000000"/>
                <w:sz w:val="22"/>
                <w:szCs w:val="22"/>
              </w:rPr>
              <w:t>Ugunsdzēsības aparāta veids</w:t>
            </w:r>
          </w:p>
        </w:tc>
        <w:tc>
          <w:tcPr>
            <w:tcW w:w="6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Ikgadējā </w:t>
            </w:r>
            <w:r w:rsidRPr="003B1428">
              <w:rPr>
                <w:b/>
                <w:bCs/>
                <w:color w:val="000000"/>
                <w:sz w:val="22"/>
                <w:szCs w:val="22"/>
              </w:rPr>
              <w:t>apkope</w:t>
            </w:r>
          </w:p>
        </w:tc>
      </w:tr>
      <w:tr w:rsidR="00E04CE4" w:rsidTr="003D3FBA">
        <w:trPr>
          <w:trHeight w:val="145"/>
        </w:trPr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Default="00E04CE4" w:rsidP="003D3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par vienību EUR, </w:t>
            </w:r>
          </w:p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PVN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Daudzums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kopā EUR, </w:t>
            </w:r>
          </w:p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bez PVN</w:t>
            </w: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87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PA-1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</w:t>
            </w:r>
            <w:r w:rsidRPr="003B1428">
              <w:rPr>
                <w:color w:val="000000"/>
                <w:sz w:val="22"/>
                <w:szCs w:val="22"/>
              </w:rPr>
              <w:t>-5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</w:t>
            </w:r>
            <w:r w:rsidRPr="003B1428">
              <w:rPr>
                <w:color w:val="000000"/>
                <w:sz w:val="22"/>
                <w:szCs w:val="22"/>
              </w:rPr>
              <w:t>-2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04CE4" w:rsidRPr="00027FB6" w:rsidRDefault="00E04CE4" w:rsidP="003D3FBA">
            <w:pPr>
              <w:jc w:val="right"/>
              <w:rPr>
                <w:b/>
                <w:sz w:val="22"/>
                <w:szCs w:val="22"/>
              </w:rPr>
            </w:pPr>
            <w:r w:rsidRPr="00027FB6">
              <w:rPr>
                <w:b/>
                <w:sz w:val="22"/>
                <w:szCs w:val="22"/>
              </w:rPr>
              <w:t>Kopā EUR, bez PVN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</w:tbl>
    <w:p w:rsidR="00E04CE4" w:rsidRDefault="00E04CE4" w:rsidP="00E04CE4">
      <w:pPr>
        <w:jc w:val="both"/>
      </w:pPr>
      <w:r>
        <w:t xml:space="preserve">    </w:t>
      </w:r>
    </w:p>
    <w:tbl>
      <w:tblPr>
        <w:tblW w:w="9456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717"/>
        <w:gridCol w:w="2009"/>
        <w:gridCol w:w="1775"/>
        <w:gridCol w:w="1984"/>
        <w:gridCol w:w="2971"/>
      </w:tblGrid>
      <w:tr w:rsidR="00E04CE4" w:rsidTr="003D3FBA">
        <w:trPr>
          <w:trHeight w:val="272"/>
        </w:trPr>
        <w:tc>
          <w:tcPr>
            <w:tcW w:w="7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b/>
                <w:bCs/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20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b/>
                <w:bCs/>
                <w:color w:val="000000"/>
                <w:sz w:val="22"/>
                <w:szCs w:val="22"/>
              </w:rPr>
              <w:t>Ugunsdzēsības aparāta veids</w:t>
            </w:r>
          </w:p>
        </w:tc>
        <w:tc>
          <w:tcPr>
            <w:tcW w:w="6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Uzpilde un remonts</w:t>
            </w:r>
          </w:p>
        </w:tc>
      </w:tr>
      <w:tr w:rsidR="00E04CE4" w:rsidTr="003D3FBA">
        <w:trPr>
          <w:trHeight w:val="145"/>
        </w:trPr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4CE4" w:rsidRDefault="00E04CE4" w:rsidP="003D3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par vienību EUR, </w:t>
            </w:r>
          </w:p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 PVN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Daudzums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kopā EUR, </w:t>
            </w:r>
          </w:p>
          <w:p w:rsidR="00E04CE4" w:rsidRPr="003B1428" w:rsidRDefault="00E04CE4" w:rsidP="003D3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bez PVN</w:t>
            </w: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PA-6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87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PA-4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PA-1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</w:t>
            </w:r>
            <w:r w:rsidRPr="003B1428">
              <w:rPr>
                <w:color w:val="000000"/>
                <w:sz w:val="22"/>
                <w:szCs w:val="22"/>
              </w:rPr>
              <w:t>-5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3B142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</w:t>
            </w:r>
            <w:r w:rsidRPr="003B1428">
              <w:rPr>
                <w:color w:val="000000"/>
                <w:sz w:val="22"/>
                <w:szCs w:val="22"/>
              </w:rPr>
              <w:t>-2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04CE4" w:rsidRPr="003B1428" w:rsidRDefault="00E04CE4" w:rsidP="003D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  <w:tr w:rsidR="00E04CE4" w:rsidTr="003D3FBA">
        <w:trPr>
          <w:trHeight w:val="272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Pr="003B1428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4CE4" w:rsidRDefault="00E04CE4" w:rsidP="003D3FBA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04CE4" w:rsidRPr="00027FB6" w:rsidRDefault="00E04CE4" w:rsidP="003D3FBA">
            <w:pPr>
              <w:jc w:val="right"/>
              <w:rPr>
                <w:b/>
                <w:sz w:val="22"/>
                <w:szCs w:val="22"/>
              </w:rPr>
            </w:pPr>
            <w:r w:rsidRPr="00027FB6">
              <w:rPr>
                <w:b/>
                <w:sz w:val="22"/>
                <w:szCs w:val="22"/>
              </w:rPr>
              <w:t>Kopā EUR, bez PVN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04CE4" w:rsidRPr="003B1428" w:rsidRDefault="00E04CE4" w:rsidP="003D3FBA">
            <w:pPr>
              <w:jc w:val="both"/>
              <w:rPr>
                <w:sz w:val="22"/>
                <w:szCs w:val="22"/>
              </w:rPr>
            </w:pPr>
          </w:p>
        </w:tc>
      </w:tr>
    </w:tbl>
    <w:p w:rsidR="00932D60" w:rsidRDefault="00932D60" w:rsidP="00932D60">
      <w:pPr>
        <w:jc w:val="both"/>
      </w:pPr>
    </w:p>
    <w:p w:rsidR="00932D60" w:rsidRDefault="00932D60" w:rsidP="00932D60">
      <w:pPr>
        <w:jc w:val="both"/>
      </w:pPr>
      <w:r>
        <w:t xml:space="preserve"> Finanšu piedāvājuma cenā (EUR) jāiekļauj visas pakalpojuma izmaksas (tajā skaitā, bet ne tikai – darba samaksa, peļņa, transporta izdevumi, u.c.), nodokļi un nodevas, kas saistītas ar iepirkuma līguma izpildi; atsevišķi jānorāda PVN, ja attiecināms. </w:t>
      </w:r>
    </w:p>
    <w:p w:rsidR="00932D60" w:rsidRDefault="00932D60" w:rsidP="00932D60">
      <w:pPr>
        <w:rPr>
          <w:b/>
          <w:bCs/>
          <w:sz w:val="22"/>
          <w:szCs w:val="22"/>
          <w:lang w:eastAsia="en-US"/>
        </w:rPr>
      </w:pPr>
      <w:bookmarkStart w:id="7" w:name="_GoBack"/>
      <w:bookmarkEnd w:id="7"/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Pretendenta nosaukums: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Reģistrēts __________________________________ (kur, kad, reģistrācijas Nr.)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Nodokļu maksātāja reģistrācijas Nr. ______________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 xml:space="preserve">Juridiskā adrese: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Bankas rekvizīti: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Kontaktpersonas vārds, uzvārds: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Tālrunis: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Fakss: </w:t>
      </w:r>
    </w:p>
    <w:p w:rsidR="00932D60" w:rsidRDefault="00932D60" w:rsidP="00932D60">
      <w:pPr>
        <w:rPr>
          <w:sz w:val="22"/>
          <w:szCs w:val="22"/>
        </w:rPr>
      </w:pPr>
      <w:r>
        <w:rPr>
          <w:sz w:val="22"/>
          <w:szCs w:val="22"/>
        </w:rPr>
        <w:t>E-pasta adrese: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Tīmekļa vietnes adrese:</w:t>
      </w:r>
    </w:p>
    <w:p w:rsidR="00932D60" w:rsidRDefault="00932D60" w:rsidP="00932D60">
      <w:pPr>
        <w:rPr>
          <w:b/>
          <w:bCs/>
          <w:i/>
          <w:iCs/>
          <w:sz w:val="22"/>
          <w:szCs w:val="22"/>
        </w:rPr>
      </w:pPr>
    </w:p>
    <w:p w:rsidR="00932D60" w:rsidRDefault="00932D60" w:rsidP="00932D60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Datums</w:t>
      </w:r>
    </w:p>
    <w:p w:rsidR="00932D60" w:rsidRDefault="00932D60" w:rsidP="00932D60">
      <w:pPr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Pretendenta vai tā pilnvarotās personas paraksts, tā atšifrējums, zīmogs (ja ir)</w:t>
      </w:r>
    </w:p>
    <w:p w:rsidR="00932D60" w:rsidRDefault="00932D60" w:rsidP="00932D60">
      <w:pPr>
        <w:jc w:val="both"/>
        <w:rPr>
          <w:sz w:val="22"/>
          <w:szCs w:val="22"/>
        </w:rPr>
      </w:pPr>
    </w:p>
    <w:p w:rsidR="00932D60" w:rsidRDefault="00932D60" w:rsidP="00932D60"/>
    <w:p w:rsidR="00874FE7" w:rsidRPr="00802952" w:rsidRDefault="00874FE7" w:rsidP="00874FE7">
      <w:pPr>
        <w:ind w:left="108"/>
        <w:jc w:val="right"/>
        <w:rPr>
          <w:b/>
          <w:color w:val="000000"/>
          <w:lang w:eastAsia="ja-JP"/>
        </w:rPr>
      </w:pPr>
    </w:p>
    <w:p w:rsidR="00874FE7" w:rsidRPr="00802952" w:rsidRDefault="00874FE7" w:rsidP="00874FE7">
      <w:pPr>
        <w:jc w:val="center"/>
        <w:rPr>
          <w:b/>
          <w:sz w:val="28"/>
          <w:szCs w:val="28"/>
        </w:rPr>
      </w:pPr>
    </w:p>
    <w:p w:rsidR="00874FE7" w:rsidRDefault="00874FE7" w:rsidP="00EF49FF">
      <w:pPr>
        <w:ind w:left="1080"/>
        <w:jc w:val="right"/>
      </w:pPr>
      <w:r>
        <w:rPr>
          <w:b/>
          <w:sz w:val="28"/>
          <w:szCs w:val="28"/>
        </w:rPr>
        <w:br w:type="page"/>
      </w:r>
      <w:r w:rsidR="00EF49FF">
        <w:t xml:space="preserve"> </w:t>
      </w:r>
    </w:p>
    <w:p w:rsidR="00433CE3" w:rsidRDefault="00433CE3"/>
    <w:sectPr w:rsidR="0043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EC2"/>
    <w:multiLevelType w:val="hybridMultilevel"/>
    <w:tmpl w:val="85CC43B6"/>
    <w:lvl w:ilvl="0" w:tplc="9E3AC3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B34855"/>
    <w:multiLevelType w:val="multilevel"/>
    <w:tmpl w:val="4794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</w:rPr>
    </w:lvl>
    <w:lvl w:ilvl="1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35D"/>
    <w:multiLevelType w:val="multilevel"/>
    <w:tmpl w:val="802CB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2F4862"/>
    <w:multiLevelType w:val="hybridMultilevel"/>
    <w:tmpl w:val="50180C02"/>
    <w:lvl w:ilvl="0" w:tplc="BE460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BF2CA0"/>
    <w:multiLevelType w:val="multilevel"/>
    <w:tmpl w:val="296428A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6C72EE6"/>
    <w:multiLevelType w:val="multilevel"/>
    <w:tmpl w:val="D25A84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MS Mincho" w:hint="default"/>
      </w:rPr>
    </w:lvl>
  </w:abstractNum>
  <w:abstractNum w:abstractNumId="6" w15:restartNumberingAfterBreak="0">
    <w:nsid w:val="43AF425C"/>
    <w:multiLevelType w:val="hybridMultilevel"/>
    <w:tmpl w:val="51546AFA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4B22"/>
    <w:multiLevelType w:val="hybridMultilevel"/>
    <w:tmpl w:val="5BE48CB6"/>
    <w:lvl w:ilvl="0" w:tplc="6EC27A2C">
      <w:start w:val="20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 w15:restartNumberingAfterBreak="0">
    <w:nsid w:val="55880B43"/>
    <w:multiLevelType w:val="multilevel"/>
    <w:tmpl w:val="7A50D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C833F0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68752D90"/>
    <w:multiLevelType w:val="multilevel"/>
    <w:tmpl w:val="AD761F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4C630AF"/>
    <w:multiLevelType w:val="hybridMultilevel"/>
    <w:tmpl w:val="E4FAF51A"/>
    <w:lvl w:ilvl="0" w:tplc="0426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12" w15:restartNumberingAfterBreak="0">
    <w:nsid w:val="78425C60"/>
    <w:multiLevelType w:val="multilevel"/>
    <w:tmpl w:val="E86E4A20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9B7342A"/>
    <w:multiLevelType w:val="multilevel"/>
    <w:tmpl w:val="4BAC65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E7"/>
    <w:rsid w:val="000573FD"/>
    <w:rsid w:val="000E2987"/>
    <w:rsid w:val="001F37BF"/>
    <w:rsid w:val="001F3CC8"/>
    <w:rsid w:val="00290738"/>
    <w:rsid w:val="002E1A2C"/>
    <w:rsid w:val="0030633A"/>
    <w:rsid w:val="003E6C7C"/>
    <w:rsid w:val="00433CE3"/>
    <w:rsid w:val="004F55DF"/>
    <w:rsid w:val="00503BEC"/>
    <w:rsid w:val="00565A5F"/>
    <w:rsid w:val="005C524D"/>
    <w:rsid w:val="006073DD"/>
    <w:rsid w:val="00650FE0"/>
    <w:rsid w:val="00783BDF"/>
    <w:rsid w:val="00790DAD"/>
    <w:rsid w:val="00811849"/>
    <w:rsid w:val="00813E0B"/>
    <w:rsid w:val="00872190"/>
    <w:rsid w:val="00874FE7"/>
    <w:rsid w:val="0089546A"/>
    <w:rsid w:val="008B346D"/>
    <w:rsid w:val="00932D60"/>
    <w:rsid w:val="00971075"/>
    <w:rsid w:val="00A815E4"/>
    <w:rsid w:val="00A84540"/>
    <w:rsid w:val="00AA12CF"/>
    <w:rsid w:val="00AA1A89"/>
    <w:rsid w:val="00B16A39"/>
    <w:rsid w:val="00B73D10"/>
    <w:rsid w:val="00C143D9"/>
    <w:rsid w:val="00C160E8"/>
    <w:rsid w:val="00C36684"/>
    <w:rsid w:val="00C819E8"/>
    <w:rsid w:val="00D9549D"/>
    <w:rsid w:val="00E04CE4"/>
    <w:rsid w:val="00E72BEC"/>
    <w:rsid w:val="00EF49FF"/>
    <w:rsid w:val="00FB40E7"/>
    <w:rsid w:val="00FE05E6"/>
    <w:rsid w:val="00FE3D97"/>
    <w:rsid w:val="00FF1F0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2EB82-37AF-4D78-A096-C6F081E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4F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874FE7"/>
    <w:pPr>
      <w:keepNext/>
      <w:widowControl/>
      <w:suppressAutoHyphens w:val="0"/>
      <w:jc w:val="center"/>
      <w:outlineLvl w:val="0"/>
    </w:pPr>
    <w:rPr>
      <w:kern w:val="0"/>
      <w:sz w:val="32"/>
      <w:szCs w:val="32"/>
      <w:lang w:eastAsia="en-GB"/>
    </w:rPr>
  </w:style>
  <w:style w:type="paragraph" w:styleId="Virsraksts2">
    <w:name w:val="heading 2"/>
    <w:basedOn w:val="Parasts"/>
    <w:next w:val="Parasts"/>
    <w:link w:val="Virsraksts2Rakstz"/>
    <w:qFormat/>
    <w:rsid w:val="00874FE7"/>
    <w:pPr>
      <w:keepNext/>
      <w:widowControl/>
      <w:suppressAutoHyphens w:val="0"/>
      <w:outlineLvl w:val="1"/>
    </w:pPr>
    <w:rPr>
      <w:kern w:val="0"/>
      <w:sz w:val="28"/>
      <w:szCs w:val="28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rsid w:val="00874FE7"/>
    <w:rPr>
      <w:rFonts w:ascii="Times New Roman" w:eastAsia="Times New Roman" w:hAnsi="Times New Roman" w:cs="Times New Roman"/>
      <w:sz w:val="32"/>
      <w:szCs w:val="32"/>
      <w:lang w:eastAsia="en-GB"/>
    </w:rPr>
  </w:style>
  <w:style w:type="character" w:customStyle="1" w:styleId="Virsraksts2Rakstz">
    <w:name w:val="Virsraksts 2 Rakstz."/>
    <w:basedOn w:val="Noklusjumarindkopasfonts"/>
    <w:link w:val="Virsraksts2"/>
    <w:rsid w:val="00874FE7"/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Sarakstarindkopa1">
    <w:name w:val="Saraksta rindkopa1"/>
    <w:basedOn w:val="Parasts"/>
    <w:link w:val="ListParagraphChar"/>
    <w:rsid w:val="00874FE7"/>
    <w:pPr>
      <w:ind w:left="720"/>
    </w:pPr>
    <w:rPr>
      <w:lang w:val="en-US"/>
    </w:rPr>
  </w:style>
  <w:style w:type="character" w:customStyle="1" w:styleId="ListParagraphChar">
    <w:name w:val="List Paragraph Char"/>
    <w:link w:val="Sarakstarindkopa1"/>
    <w:locked/>
    <w:rsid w:val="00874FE7"/>
    <w:rPr>
      <w:rFonts w:ascii="Times New Roman" w:eastAsia="Times New Roman" w:hAnsi="Times New Roman" w:cs="Times New Roman"/>
      <w:kern w:val="2"/>
      <w:sz w:val="24"/>
      <w:szCs w:val="24"/>
      <w:lang w:val="en-US" w:eastAsia="lv-LV"/>
    </w:rPr>
  </w:style>
  <w:style w:type="character" w:styleId="Hipersaite">
    <w:name w:val="Hyperlink"/>
    <w:basedOn w:val="Noklusjumarindkopasfonts"/>
    <w:rsid w:val="00874FE7"/>
    <w:rPr>
      <w:rFonts w:cs="Times New Roman"/>
      <w:color w:val="0000FF"/>
      <w:u w:val="single"/>
    </w:rPr>
  </w:style>
  <w:style w:type="paragraph" w:customStyle="1" w:styleId="Style1">
    <w:name w:val="Style1"/>
    <w:autoRedefine/>
    <w:rsid w:val="00874FE7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lv-LV"/>
    </w:rPr>
  </w:style>
  <w:style w:type="paragraph" w:styleId="Saturs1">
    <w:name w:val="toc 1"/>
    <w:basedOn w:val="Parasts"/>
    <w:next w:val="Parasts"/>
    <w:autoRedefine/>
    <w:semiHidden/>
    <w:rsid w:val="00874FE7"/>
    <w:pPr>
      <w:widowControl/>
      <w:suppressAutoHyphens w:val="0"/>
      <w:jc w:val="center"/>
    </w:pPr>
    <w:rPr>
      <w:b/>
      <w:bCs/>
      <w:kern w:val="0"/>
      <w:sz w:val="22"/>
      <w:szCs w:val="22"/>
      <w:lang w:eastAsia="en-GB"/>
    </w:rPr>
  </w:style>
  <w:style w:type="paragraph" w:customStyle="1" w:styleId="Style2">
    <w:name w:val="Style2"/>
    <w:basedOn w:val="Parasts"/>
    <w:autoRedefine/>
    <w:rsid w:val="00874FE7"/>
    <w:pPr>
      <w:widowControl/>
      <w:suppressAutoHyphens w:val="0"/>
      <w:jc w:val="both"/>
    </w:pPr>
    <w:rPr>
      <w:kern w:val="0"/>
      <w:sz w:val="22"/>
      <w:szCs w:val="22"/>
      <w:lang w:eastAsia="en-GB"/>
    </w:rPr>
  </w:style>
  <w:style w:type="character" w:styleId="Izteiksmgs">
    <w:name w:val="Strong"/>
    <w:basedOn w:val="Noklusjumarindkopasfonts"/>
    <w:uiPriority w:val="22"/>
    <w:qFormat/>
    <w:rsid w:val="00874FE7"/>
    <w:rPr>
      <w:rFonts w:cs="Times New Roman"/>
      <w:b/>
      <w:bCs/>
    </w:rPr>
  </w:style>
  <w:style w:type="paragraph" w:styleId="Pamatteksts">
    <w:name w:val="Body Text"/>
    <w:aliases w:val="Rakstz."/>
    <w:basedOn w:val="Parasts"/>
    <w:link w:val="PamattekstsRakstz"/>
    <w:rsid w:val="00874FE7"/>
    <w:pPr>
      <w:spacing w:after="120"/>
    </w:pPr>
    <w:rPr>
      <w:rFonts w:ascii="Calibri" w:hAnsi="Calibri"/>
      <w:lang w:val="en-US"/>
    </w:rPr>
  </w:style>
  <w:style w:type="character" w:customStyle="1" w:styleId="PamattekstsRakstz">
    <w:name w:val="Pamatteksts Rakstz."/>
    <w:aliases w:val="Rakstz. Rakstz."/>
    <w:basedOn w:val="Noklusjumarindkopasfonts"/>
    <w:link w:val="Pamatteksts"/>
    <w:rsid w:val="00874FE7"/>
    <w:rPr>
      <w:rFonts w:ascii="Calibri" w:eastAsia="Times New Roman" w:hAnsi="Calibri" w:cs="Times New Roman"/>
      <w:kern w:val="2"/>
      <w:sz w:val="24"/>
      <w:szCs w:val="24"/>
      <w:lang w:val="en-US" w:eastAsia="lv-LV"/>
    </w:rPr>
  </w:style>
  <w:style w:type="character" w:customStyle="1" w:styleId="InternetLink">
    <w:name w:val="Internet Link"/>
    <w:uiPriority w:val="99"/>
    <w:rsid w:val="00B73D10"/>
    <w:rPr>
      <w:color w:val="0000FF"/>
      <w:u w:val="single"/>
    </w:rPr>
  </w:style>
  <w:style w:type="paragraph" w:styleId="Nosaukums">
    <w:name w:val="Title"/>
    <w:basedOn w:val="Parasts"/>
    <w:link w:val="NosaukumsRakstz"/>
    <w:uiPriority w:val="99"/>
    <w:qFormat/>
    <w:rsid w:val="00FF1F02"/>
    <w:pPr>
      <w:widowControl/>
      <w:suppressAutoHyphens w:val="0"/>
      <w:autoSpaceDE w:val="0"/>
      <w:autoSpaceDN w:val="0"/>
      <w:adjustRightInd w:val="0"/>
      <w:jc w:val="center"/>
    </w:pPr>
    <w:rPr>
      <w:b/>
      <w:bCs/>
      <w:kern w:val="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F1F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E7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b.lv" TargetMode="External"/><Relationship Id="rId3" Type="http://schemas.openxmlformats.org/officeDocument/2006/relationships/styles" Target="styles.xml"/><Relationship Id="rId7" Type="http://schemas.openxmlformats.org/officeDocument/2006/relationships/hyperlink" Target="mailto:jelena.sapkova@lcb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gorijs.plotins@lcb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lena.sapkova@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DD68-9CBC-4887-8780-1645AE40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3892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2</cp:revision>
  <dcterms:created xsi:type="dcterms:W3CDTF">2022-05-02T10:29:00Z</dcterms:created>
  <dcterms:modified xsi:type="dcterms:W3CDTF">2022-05-02T10:29:00Z</dcterms:modified>
</cp:coreProperties>
</file>